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494</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1"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滴滴出行科技有限公司玉林分公司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玉林市玉州区一环北路</w:t>
            </w:r>
            <w:r>
              <w:rPr>
                <w:rFonts w:hint="default" w:ascii="sans-serif" w:hAnsi="sans-serif" w:eastAsia="sans-serif" w:cs="sans-serif"/>
                <w:i w:val="0"/>
                <w:iCs w:val="0"/>
                <w:caps w:val="0"/>
                <w:spacing w:val="0"/>
                <w:sz w:val="17"/>
                <w:szCs w:val="17"/>
                <w:shd w:val="clear" w:fill="FFFFFF"/>
              </w:rPr>
              <w:t xml:space="preserve"> 163号二楼</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186</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2716</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张翠姬</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91450900MA5P1HWE9T</w:t>
            </w:r>
          </w:p>
        </w:tc>
      </w:tr>
    </w:tbl>
    <w:p w14:paraId="5116AB1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2024年 08月 22日 09时 53分，玉林市交通运输局执法人员罗泽光,刘海宁（执法证号分别为 45091137,45091117）在玉林市一环路格林东方酒店门口路段执法检查时发现：驾驶员李金全驾驶桂 KD51670小型轿车运载 1名乘客，从玉林市玉州区祥隆花园-西北门到格林东方酒店停车场西南侧-下车点。该趟运输由乘客在滴滴出行科技有限公司玉林分公司下单，已支付车费为 10.10元。滴滴出行科技有限公司玉林分公司已取得网络预约出租汽车经营许可，证号为 450900000015，本趟运输派单的桂 KD51670车辆未取得《网络预约出租汽车运输证》。当事人的行为构成网约车平台公司提供服务车辆未取得《网络预约出租汽车运输证》，或者线上提供服务车辆与线下实际提供服务车辆不一致，违法程度为情节较轻。</w:t>
      </w:r>
    </w:p>
    <w:p w14:paraId="6670A3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现场照片、经营许可证复制件、受委托人身份证复制件、广西运政微信公众号查询运政基础数据、授权委托书复制件、营业执照复制件、法定代表人身份证复制件、滴滴出行科技有限公司玉林分公司涉嫌网约车平台公司提供服务车辆未取得《网络预约出租汽车运输证》统计表复制件证明。</w:t>
      </w:r>
    </w:p>
    <w:p w14:paraId="23FC50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三、陈述申辩及听证情况。本机关已依法告知当事人具有陈述、申辩的权利，当事人自愿放弃陈述、申辩。</w:t>
      </w:r>
    </w:p>
    <w:p w14:paraId="0ED36F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四、法律依据。你（单位）的行为违反了《网络预约出租汽车经营服务管理暂行办法》第十七条的规定。</w:t>
      </w:r>
    </w:p>
    <w:p w14:paraId="49EF24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五、处罚决定。依据《网络预约出租汽车经营服务管理暂行办法》第三十五条第一款第一项的规定，参照《广西壮族自治区道路运输行政处罚裁量权基准》（桂交规〔2023〕3 号）的规定。本机关依法作出罚款人民币伍仟元整（¥5000）的处罚决定。</w:t>
      </w:r>
    </w:p>
    <w:p w14:paraId="1050A0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0F7281F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5FFA40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12月 03日</w:t>
      </w:r>
    </w:p>
    <w:p w14:paraId="1DBF53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6A4DCD4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lang w:val="en-US" w:eastAsia="zh-CN"/>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35C747D"/>
    <w:rsid w:val="046513C7"/>
    <w:rsid w:val="07825A3E"/>
    <w:rsid w:val="0B934CCE"/>
    <w:rsid w:val="0F67724C"/>
    <w:rsid w:val="10412DE6"/>
    <w:rsid w:val="12582E7C"/>
    <w:rsid w:val="127053E5"/>
    <w:rsid w:val="134A4EBA"/>
    <w:rsid w:val="186F2B11"/>
    <w:rsid w:val="19B02BB4"/>
    <w:rsid w:val="1A6372EE"/>
    <w:rsid w:val="1A8B5BAA"/>
    <w:rsid w:val="1C802551"/>
    <w:rsid w:val="1EFD54D7"/>
    <w:rsid w:val="238378BB"/>
    <w:rsid w:val="240A427C"/>
    <w:rsid w:val="24741D97"/>
    <w:rsid w:val="26A8240B"/>
    <w:rsid w:val="2BD84516"/>
    <w:rsid w:val="2E3F5736"/>
    <w:rsid w:val="368F25A7"/>
    <w:rsid w:val="3B5510F0"/>
    <w:rsid w:val="411A1543"/>
    <w:rsid w:val="42CB3072"/>
    <w:rsid w:val="448E4357"/>
    <w:rsid w:val="45AE6EF6"/>
    <w:rsid w:val="4A995BC5"/>
    <w:rsid w:val="4B7F0E9E"/>
    <w:rsid w:val="4C962CF7"/>
    <w:rsid w:val="4D0F7F9F"/>
    <w:rsid w:val="52966C02"/>
    <w:rsid w:val="52C05290"/>
    <w:rsid w:val="58316478"/>
    <w:rsid w:val="5EE97798"/>
    <w:rsid w:val="6540227E"/>
    <w:rsid w:val="6AD446E1"/>
    <w:rsid w:val="74275AAB"/>
    <w:rsid w:val="772C405D"/>
    <w:rsid w:val="79A85561"/>
    <w:rsid w:val="7A173214"/>
    <w:rsid w:val="7D280683"/>
    <w:rsid w:val="7DE81715"/>
    <w:rsid w:val="7F500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1042</Words>
  <Characters>1157</Characters>
  <Lines>9</Lines>
  <Paragraphs>2</Paragraphs>
  <TotalTime>30</TotalTime>
  <ScaleCrop>false</ScaleCrop>
  <LinksUpToDate>false</LinksUpToDate>
  <CharactersWithSpaces>1195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2025-12-10T00:34:51Z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